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B0" w:rsidRDefault="00B83EB0"/>
    <w:p w:rsidR="00B83EB0" w:rsidRDefault="00B83EB0"/>
    <w:p w:rsidR="00B83EB0" w:rsidRPr="00B83EB0" w:rsidRDefault="00B83EB0" w:rsidP="00B83EB0">
      <w:pPr>
        <w:shd w:val="clear" w:color="auto" w:fill="FFFFFF"/>
        <w:spacing w:after="225" w:line="450" w:lineRule="atLeast"/>
        <w:outlineLvl w:val="1"/>
        <w:rPr>
          <w:rFonts w:ascii="HelveticaNeueLT Std Lt Ext" w:eastAsia="Times New Roman" w:hAnsi="HelveticaNeueLT Std Lt Ext" w:cs="Times New Roman"/>
          <w:color w:val="E4894E"/>
          <w:sz w:val="28"/>
          <w:szCs w:val="28"/>
        </w:rPr>
      </w:pPr>
      <w:r w:rsidRPr="00B83EB0">
        <w:rPr>
          <w:rFonts w:ascii="HelveticaNeueLT Std Lt Ext" w:eastAsia="Times New Roman" w:hAnsi="HelveticaNeueLT Std Lt Ext" w:cs="Times New Roman"/>
          <w:color w:val="E4894E"/>
          <w:sz w:val="28"/>
          <w:szCs w:val="28"/>
        </w:rPr>
        <w:t xml:space="preserve">Solicitud de </w:t>
      </w:r>
      <w:proofErr w:type="spellStart"/>
      <w:r w:rsidRPr="00B83EB0">
        <w:rPr>
          <w:rFonts w:ascii="HelveticaNeueLT Std Lt Ext" w:eastAsia="Times New Roman" w:hAnsi="HelveticaNeueLT Std Lt Ext" w:cs="Times New Roman"/>
          <w:color w:val="E4894E"/>
          <w:sz w:val="28"/>
          <w:szCs w:val="28"/>
        </w:rPr>
        <w:t>Dictaminación</w:t>
      </w:r>
      <w:proofErr w:type="spellEnd"/>
    </w:p>
    <w:p w:rsidR="00B83EB0" w:rsidRPr="00B83EB0" w:rsidRDefault="00B83EB0" w:rsidP="00B83EB0">
      <w:pPr>
        <w:shd w:val="clear" w:color="auto" w:fill="FFFFFF"/>
        <w:spacing w:after="225" w:line="240" w:lineRule="auto"/>
        <w:jc w:val="both"/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</w:pPr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 xml:space="preserve">De acuerdo con lo establecido en la Ley, las autoridades promoverán las acciones en el </w:t>
      </w:r>
      <w:r w:rsidRPr="00404615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>ámbito</w:t>
      </w:r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 xml:space="preserve"> de su competencia, para la creación de </w:t>
      </w:r>
      <w:r w:rsidR="00404615" w:rsidRPr="00404615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>disposiciones</w:t>
      </w:r>
      <w:r w:rsidR="00404615"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> de</w:t>
      </w:r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 xml:space="preserve"> carácter general o bien, su reforma, que </w:t>
      </w:r>
      <w:r w:rsidRPr="00404615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>garantice</w:t>
      </w:r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 xml:space="preserve"> la simplificación, reduzcan la discrecionalidad de los actos de la autoridad y provean a la solución de la </w:t>
      </w:r>
      <w:r w:rsidRPr="00404615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>problemática</w:t>
      </w:r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 xml:space="preserve"> que pudiere inhibir la </w:t>
      </w:r>
      <w:r w:rsidRPr="00404615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>consecución</w:t>
      </w:r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 xml:space="preserve"> de los objetivos de la Ley.</w:t>
      </w:r>
    </w:p>
    <w:p w:rsidR="00B83EB0" w:rsidRPr="00B83EB0" w:rsidRDefault="00B83EB0" w:rsidP="00B83EB0">
      <w:pPr>
        <w:shd w:val="clear" w:color="auto" w:fill="FFFFFF"/>
        <w:spacing w:before="225" w:after="225" w:line="240" w:lineRule="auto"/>
        <w:jc w:val="both"/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</w:pPr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 xml:space="preserve">En este sentido, las Dependencias Estatales y Organismos Públicos Descentralizados deberán remitir a la Comisión Estatal de Mejora Regulatoria a través de su Enlace de Mejora Regulatoria, los proyectos de Ley, Decretos Legislativos o disposiciones de carácter general, para su revisión y </w:t>
      </w:r>
      <w:proofErr w:type="spellStart"/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>dictaminación</w:t>
      </w:r>
      <w:proofErr w:type="spellEnd"/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 xml:space="preserve">, junto con el Análisis de Impacto </w:t>
      </w:r>
      <w:r w:rsidRPr="00404615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>Regulatorio y</w:t>
      </w:r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 xml:space="preserve"> estos pueden ser:</w:t>
      </w:r>
    </w:p>
    <w:p w:rsidR="00B83EB0" w:rsidRPr="00B83EB0" w:rsidRDefault="00B83EB0" w:rsidP="00B83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</w:pPr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>Leyes</w:t>
      </w:r>
    </w:p>
    <w:p w:rsidR="00B83EB0" w:rsidRPr="00B83EB0" w:rsidRDefault="00B83EB0" w:rsidP="00B83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</w:pPr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>Reglamentos</w:t>
      </w:r>
    </w:p>
    <w:p w:rsidR="00B83EB0" w:rsidRPr="00B83EB0" w:rsidRDefault="00B83EB0" w:rsidP="00B83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</w:pPr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>Decretos y acuerdos del Ejecutivo Estatal</w:t>
      </w:r>
    </w:p>
    <w:p w:rsidR="00B83EB0" w:rsidRPr="00B83EB0" w:rsidRDefault="00B83EB0" w:rsidP="00B83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</w:pPr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>Normas Técnicas Estatales</w:t>
      </w:r>
    </w:p>
    <w:p w:rsidR="00B83EB0" w:rsidRPr="00B83EB0" w:rsidRDefault="00B83EB0" w:rsidP="00B83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</w:pPr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>Bandos</w:t>
      </w:r>
    </w:p>
    <w:p w:rsidR="00B83EB0" w:rsidRPr="00B83EB0" w:rsidRDefault="00B83EB0" w:rsidP="00B83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</w:pPr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>Manuales</w:t>
      </w:r>
    </w:p>
    <w:p w:rsidR="00B83EB0" w:rsidRPr="00B83EB0" w:rsidRDefault="00B83EB0" w:rsidP="00B83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</w:pPr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>Instructivos</w:t>
      </w:r>
    </w:p>
    <w:p w:rsidR="00B83EB0" w:rsidRPr="00B83EB0" w:rsidRDefault="00B83EB0" w:rsidP="00B83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</w:pPr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>Circulares</w:t>
      </w:r>
    </w:p>
    <w:p w:rsidR="00B83EB0" w:rsidRPr="00B83EB0" w:rsidRDefault="00B83EB0" w:rsidP="00B83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</w:pPr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>Lineamientos</w:t>
      </w:r>
    </w:p>
    <w:p w:rsidR="00B83EB0" w:rsidRPr="00B83EB0" w:rsidRDefault="00B83EB0" w:rsidP="00B83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</w:pPr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>Metodologías</w:t>
      </w:r>
    </w:p>
    <w:p w:rsidR="00B83EB0" w:rsidRPr="00B83EB0" w:rsidRDefault="00B83EB0" w:rsidP="00B83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</w:pPr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>Reglas</w:t>
      </w:r>
      <w:bookmarkStart w:id="0" w:name="_GoBack"/>
      <w:bookmarkEnd w:id="0"/>
    </w:p>
    <w:p w:rsidR="00B83EB0" w:rsidRPr="00B83EB0" w:rsidRDefault="00B83EB0" w:rsidP="00B83EB0">
      <w:pPr>
        <w:shd w:val="clear" w:color="auto" w:fill="FFFFFF"/>
        <w:spacing w:before="225" w:after="225" w:line="240" w:lineRule="auto"/>
        <w:jc w:val="both"/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</w:pPr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 xml:space="preserve">Así como las demás disposiciones </w:t>
      </w:r>
      <w:r w:rsidRPr="00404615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>administrativas que</w:t>
      </w:r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 xml:space="preserve"> emitan las dependencias y organismos públicos descentralizados y afecten la esfera jurídica de los particulares. Lo anterior, siempre y cuando que el proyecto genere costos de cumplimiento para los particulares.</w:t>
      </w:r>
    </w:p>
    <w:p w:rsidR="00B83EB0" w:rsidRPr="00B83EB0" w:rsidRDefault="00B83EB0" w:rsidP="00B83EB0">
      <w:pPr>
        <w:shd w:val="clear" w:color="auto" w:fill="FFFFFF"/>
        <w:spacing w:after="0" w:line="240" w:lineRule="auto"/>
        <w:jc w:val="both"/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</w:pPr>
      <w:r w:rsidRPr="00B83EB0">
        <w:rPr>
          <w:rFonts w:ascii="HelveticaNeueLT Std Lt Ext" w:eastAsia="Times New Roman" w:hAnsi="HelveticaNeueLT Std Lt Ext" w:cs="Arial"/>
          <w:color w:val="707F7D"/>
          <w:sz w:val="20"/>
          <w:szCs w:val="20"/>
        </w:rPr>
        <w:t>Tipos de Análisis de Impacto Regulatorio</w:t>
      </w:r>
    </w:p>
    <w:p w:rsidR="00B83EB0" w:rsidRPr="00B83EB0" w:rsidRDefault="00B83EB0" w:rsidP="00B83EB0">
      <w:pPr>
        <w:shd w:val="clear" w:color="auto" w:fill="FFFFFF"/>
        <w:spacing w:after="0" w:line="240" w:lineRule="auto"/>
        <w:jc w:val="both"/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</w:pPr>
      <w:r w:rsidRPr="00B83EB0"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  <w:t> </w:t>
      </w:r>
    </w:p>
    <w:p w:rsidR="00B83EB0" w:rsidRPr="00B83EB0" w:rsidRDefault="00B83EB0" w:rsidP="00B83EB0">
      <w:pPr>
        <w:shd w:val="clear" w:color="auto" w:fill="FFFFFF"/>
        <w:spacing w:after="0" w:line="240" w:lineRule="auto"/>
        <w:jc w:val="both"/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</w:pPr>
      <w:r w:rsidRPr="00B83EB0">
        <w:rPr>
          <w:rFonts w:ascii="HelveticaNeueLT Std Lt Ext" w:eastAsia="Times New Roman" w:hAnsi="HelveticaNeueLT Std Lt Ext" w:cs="Arial"/>
          <w:color w:val="707F7D"/>
          <w:sz w:val="20"/>
          <w:szCs w:val="20"/>
        </w:rPr>
        <w:t>a) Actualización Emergente;</w:t>
      </w:r>
    </w:p>
    <w:p w:rsidR="00B83EB0" w:rsidRPr="00B83EB0" w:rsidRDefault="00B83EB0" w:rsidP="00B83EB0">
      <w:pPr>
        <w:shd w:val="clear" w:color="auto" w:fill="FFFFFF"/>
        <w:spacing w:after="0" w:line="240" w:lineRule="auto"/>
        <w:jc w:val="both"/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</w:pPr>
      <w:r w:rsidRPr="00B83EB0">
        <w:rPr>
          <w:rFonts w:ascii="HelveticaNeueLT Std Lt Ext" w:eastAsia="Times New Roman" w:hAnsi="HelveticaNeueLT Std Lt Ext" w:cs="Arial"/>
          <w:color w:val="707F7D"/>
          <w:sz w:val="20"/>
          <w:szCs w:val="20"/>
        </w:rPr>
        <w:t>b) Actualización Periódica;</w:t>
      </w:r>
    </w:p>
    <w:p w:rsidR="00B83EB0" w:rsidRPr="00B83EB0" w:rsidRDefault="00B83EB0" w:rsidP="00B83EB0">
      <w:pPr>
        <w:shd w:val="clear" w:color="auto" w:fill="FFFFFF"/>
        <w:spacing w:after="0" w:line="240" w:lineRule="auto"/>
        <w:jc w:val="both"/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</w:pPr>
      <w:r w:rsidRPr="00B83EB0">
        <w:rPr>
          <w:rFonts w:ascii="HelveticaNeueLT Std Lt Ext" w:eastAsia="Times New Roman" w:hAnsi="HelveticaNeueLT Std Lt Ext" w:cs="Arial"/>
          <w:color w:val="707F7D"/>
          <w:sz w:val="20"/>
          <w:szCs w:val="20"/>
        </w:rPr>
        <w:t>c) Ordinario</w:t>
      </w:r>
    </w:p>
    <w:p w:rsidR="00B83EB0" w:rsidRPr="00B83EB0" w:rsidRDefault="00B83EB0" w:rsidP="00B83EB0">
      <w:pPr>
        <w:shd w:val="clear" w:color="auto" w:fill="FFFFFF"/>
        <w:spacing w:after="75" w:line="240" w:lineRule="auto"/>
        <w:jc w:val="both"/>
        <w:rPr>
          <w:rFonts w:ascii="HelveticaNeueLT Std Lt Ext" w:eastAsia="Times New Roman" w:hAnsi="HelveticaNeueLT Std Lt Ext" w:cs="Times New Roman"/>
          <w:color w:val="707F7D"/>
          <w:sz w:val="20"/>
          <w:szCs w:val="20"/>
        </w:rPr>
      </w:pPr>
      <w:r w:rsidRPr="00B83EB0">
        <w:rPr>
          <w:rFonts w:ascii="HelveticaNeueLT Std Lt Ext" w:eastAsia="Times New Roman" w:hAnsi="HelveticaNeueLT Std Lt Ext" w:cs="Arial"/>
          <w:color w:val="707F7D"/>
          <w:sz w:val="20"/>
          <w:szCs w:val="20"/>
        </w:rPr>
        <w:t>d) Exención</w:t>
      </w:r>
    </w:p>
    <w:p w:rsidR="00B83EB0" w:rsidRDefault="00B83EB0"/>
    <w:sectPr w:rsidR="00B83EB0" w:rsidSect="00FA01A2">
      <w:type w:val="continuous"/>
      <w:pgSz w:w="12240" w:h="15840" w:code="1"/>
      <w:pgMar w:top="1418" w:right="1134" w:bottom="1418" w:left="1134" w:header="141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 Ext">
    <w:panose1 w:val="020B05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44D8"/>
    <w:multiLevelType w:val="multilevel"/>
    <w:tmpl w:val="8DBA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348CA"/>
    <w:multiLevelType w:val="multilevel"/>
    <w:tmpl w:val="60EC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B0"/>
    <w:rsid w:val="00404615"/>
    <w:rsid w:val="004B6E54"/>
    <w:rsid w:val="009753DF"/>
    <w:rsid w:val="00A665DD"/>
    <w:rsid w:val="00B83EB0"/>
    <w:rsid w:val="00FA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C3C0A"/>
  <w15:chartTrackingRefBased/>
  <w15:docId w15:val="{64172D3F-F2EF-4C1A-BEC2-8FAE272F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83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83E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8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B83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189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74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2020-01-22T20:35:00Z</dcterms:created>
  <dcterms:modified xsi:type="dcterms:W3CDTF">2020-01-22T20:35:00Z</dcterms:modified>
</cp:coreProperties>
</file>